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75" w:type="dxa"/>
        <w:tblLook w:val="04A0" w:firstRow="1" w:lastRow="0" w:firstColumn="1" w:lastColumn="0" w:noHBand="0" w:noVBand="1"/>
      </w:tblPr>
      <w:tblGrid>
        <w:gridCol w:w="1978"/>
        <w:gridCol w:w="7010"/>
        <w:gridCol w:w="287"/>
      </w:tblGrid>
      <w:tr w:rsidR="00B61F8D" w:rsidRPr="00F00566" w14:paraId="47623501" w14:textId="3A888041" w:rsidTr="00814E80">
        <w:tc>
          <w:tcPr>
            <w:tcW w:w="9275" w:type="dxa"/>
            <w:gridSpan w:val="3"/>
            <w:hideMark/>
          </w:tcPr>
          <w:p w14:paraId="3E17549A" w14:textId="77777777" w:rsidR="00B61F8D" w:rsidRDefault="00B61F8D" w:rsidP="0008539D">
            <w:pPr>
              <w:rPr>
                <w:szCs w:val="24"/>
                <w:lang w:eastAsia="en-GB"/>
              </w:rPr>
            </w:pPr>
          </w:p>
          <w:p w14:paraId="59CC9517" w14:textId="4ECCD1AD" w:rsidR="00814E80" w:rsidRPr="00F00566" w:rsidRDefault="00814E80" w:rsidP="0008539D">
            <w:pPr>
              <w:rPr>
                <w:szCs w:val="24"/>
                <w:lang w:eastAsia="en-GB"/>
              </w:rPr>
            </w:pPr>
          </w:p>
        </w:tc>
      </w:tr>
      <w:tr w:rsidR="00B61F8D" w:rsidRPr="00F00566" w14:paraId="4B1E7C7E" w14:textId="7012DF98" w:rsidTr="00814E80">
        <w:tc>
          <w:tcPr>
            <w:tcW w:w="1951" w:type="dxa"/>
            <w:hideMark/>
          </w:tcPr>
          <w:p w14:paraId="1AFFDDFA" w14:textId="77777777" w:rsidR="00B61F8D" w:rsidRPr="00F00566" w:rsidRDefault="00B61F8D" w:rsidP="00B61F8D">
            <w:pPr>
              <w:spacing w:before="60" w:after="60" w:line="240" w:lineRule="auto"/>
              <w:rPr>
                <w:rFonts w:cs="Calibri"/>
                <w:b/>
                <w:i/>
                <w:lang w:val="en-US"/>
              </w:rPr>
            </w:pPr>
            <w:r w:rsidRPr="00F00566">
              <w:rPr>
                <w:rFonts w:cs="Calibri"/>
                <w:b/>
                <w:i/>
                <w:lang w:eastAsia="en-GB"/>
              </w:rPr>
              <w:t>Job Title:</w:t>
            </w:r>
          </w:p>
        </w:tc>
        <w:tc>
          <w:tcPr>
            <w:tcW w:w="7324" w:type="dxa"/>
            <w:gridSpan w:val="2"/>
            <w:hideMark/>
          </w:tcPr>
          <w:p w14:paraId="2D49A7E6" w14:textId="77777777" w:rsidR="00B61F8D" w:rsidRPr="005A6D7A" w:rsidRDefault="0018470D" w:rsidP="005A6D7A">
            <w:pPr>
              <w:spacing w:before="60" w:after="60" w:line="240" w:lineRule="auto"/>
              <w:rPr>
                <w:rFonts w:cs="Calibri"/>
                <w:b/>
                <w:lang w:val="en-US"/>
              </w:rPr>
            </w:pPr>
            <w:r>
              <w:rPr>
                <w:rFonts w:cs="Calibri"/>
                <w:b/>
                <w:lang w:eastAsia="en-GB"/>
              </w:rPr>
              <w:t>Marine Operative</w:t>
            </w:r>
          </w:p>
        </w:tc>
      </w:tr>
      <w:tr w:rsidR="00F00566" w:rsidRPr="00F00566" w14:paraId="0AE91490" w14:textId="684189AE" w:rsidTr="00814E80">
        <w:tc>
          <w:tcPr>
            <w:tcW w:w="1951" w:type="dxa"/>
          </w:tcPr>
          <w:p w14:paraId="7315D09F" w14:textId="77777777" w:rsidR="00F00566" w:rsidRPr="00F00566" w:rsidRDefault="00F00566" w:rsidP="00B61F8D">
            <w:pPr>
              <w:spacing w:before="60" w:after="60" w:line="240" w:lineRule="auto"/>
              <w:rPr>
                <w:rFonts w:cs="Calibri"/>
                <w:b/>
                <w:i/>
                <w:lang w:eastAsia="en-GB"/>
              </w:rPr>
            </w:pPr>
            <w:r w:rsidRPr="00F00566">
              <w:rPr>
                <w:rFonts w:cs="Calibri"/>
                <w:b/>
                <w:i/>
                <w:lang w:eastAsia="en-GB"/>
              </w:rPr>
              <w:t>Reporting to:</w:t>
            </w:r>
          </w:p>
        </w:tc>
        <w:tc>
          <w:tcPr>
            <w:tcW w:w="7324" w:type="dxa"/>
            <w:gridSpan w:val="2"/>
          </w:tcPr>
          <w:p w14:paraId="1F02E899" w14:textId="77777777" w:rsidR="00F00566" w:rsidRPr="005A6D7A" w:rsidRDefault="005A6D7A" w:rsidP="005A6D7A">
            <w:pPr>
              <w:spacing w:before="60" w:after="60" w:line="240" w:lineRule="auto"/>
              <w:rPr>
                <w:rFonts w:cs="Calibri"/>
                <w:b/>
                <w:lang w:val="en-US"/>
              </w:rPr>
            </w:pPr>
            <w:r>
              <w:rPr>
                <w:rFonts w:cs="Calibri"/>
                <w:b/>
                <w:lang w:val="en-US"/>
              </w:rPr>
              <w:t>Harbour M</w:t>
            </w:r>
            <w:r w:rsidR="00667DDD">
              <w:rPr>
                <w:rFonts w:cs="Calibri"/>
                <w:b/>
                <w:lang w:val="en-US"/>
              </w:rPr>
              <w:t>aster</w:t>
            </w:r>
          </w:p>
        </w:tc>
      </w:tr>
      <w:tr w:rsidR="00CC4EEA" w:rsidRPr="00F00566" w14:paraId="4ECDAD40" w14:textId="77777777" w:rsidTr="00814E80">
        <w:tc>
          <w:tcPr>
            <w:tcW w:w="1951" w:type="dxa"/>
          </w:tcPr>
          <w:p w14:paraId="3157F264" w14:textId="59F753E0" w:rsidR="00CC4EEA" w:rsidRPr="00F00566" w:rsidRDefault="00CC4EEA" w:rsidP="00B61F8D">
            <w:pPr>
              <w:spacing w:before="60" w:after="60" w:line="240" w:lineRule="auto"/>
              <w:rPr>
                <w:rFonts w:cs="Calibri"/>
                <w:b/>
                <w:i/>
                <w:lang w:eastAsia="en-GB"/>
              </w:rPr>
            </w:pPr>
            <w:r>
              <w:rPr>
                <w:rFonts w:cs="Calibri"/>
                <w:b/>
                <w:i/>
                <w:lang w:eastAsia="en-GB"/>
              </w:rPr>
              <w:t>Salary Range:</w:t>
            </w:r>
          </w:p>
        </w:tc>
        <w:tc>
          <w:tcPr>
            <w:tcW w:w="7324" w:type="dxa"/>
            <w:gridSpan w:val="2"/>
          </w:tcPr>
          <w:p w14:paraId="15FABA67" w14:textId="5567C665" w:rsidR="00CC4EEA" w:rsidRDefault="00CC4EEA" w:rsidP="005A6D7A">
            <w:pPr>
              <w:spacing w:before="60" w:after="60" w:line="240" w:lineRule="auto"/>
              <w:rPr>
                <w:rFonts w:cs="Calibri"/>
                <w:b/>
                <w:lang w:val="en-US"/>
              </w:rPr>
            </w:pPr>
            <w:r>
              <w:rPr>
                <w:rFonts w:cs="Calibri"/>
                <w:b/>
                <w:lang w:val="en-US"/>
              </w:rPr>
              <w:t>€42-50K p.a.</w:t>
            </w:r>
          </w:p>
        </w:tc>
      </w:tr>
      <w:tr w:rsidR="00A3745A" w:rsidRPr="00F00566" w14:paraId="0791FCFF" w14:textId="211A0075" w:rsidTr="00814E80">
        <w:tc>
          <w:tcPr>
            <w:tcW w:w="1951" w:type="dxa"/>
          </w:tcPr>
          <w:p w14:paraId="56DABE0D" w14:textId="77777777" w:rsidR="00A3745A" w:rsidRDefault="00A3745A" w:rsidP="00A3745A">
            <w:pPr>
              <w:spacing w:before="60" w:after="60" w:line="240" w:lineRule="auto"/>
              <w:rPr>
                <w:rFonts w:cs="Calibri"/>
                <w:b/>
                <w:lang w:eastAsia="en-GB"/>
              </w:rPr>
            </w:pPr>
            <w:r>
              <w:rPr>
                <w:rFonts w:cs="Calibri"/>
                <w:b/>
                <w:lang w:eastAsia="en-GB"/>
              </w:rPr>
              <w:t>Scope</w:t>
            </w:r>
          </w:p>
        </w:tc>
        <w:tc>
          <w:tcPr>
            <w:tcW w:w="7324" w:type="dxa"/>
            <w:gridSpan w:val="2"/>
          </w:tcPr>
          <w:p w14:paraId="09CB8355" w14:textId="77777777" w:rsidR="00A3745A" w:rsidRPr="005E1DB6" w:rsidRDefault="00CF1F8D" w:rsidP="00A3745A">
            <w:pPr>
              <w:pStyle w:val="ListParagraph"/>
              <w:spacing w:after="0" w:line="240" w:lineRule="auto"/>
              <w:ind w:left="0"/>
              <w:jc w:val="both"/>
              <w:rPr>
                <w:rFonts w:eastAsia="Times New Roman" w:cs="Calibri"/>
              </w:rPr>
            </w:pPr>
            <w:r w:rsidRPr="00CF1F8D">
              <w:rPr>
                <w:rFonts w:eastAsia="Times New Roman" w:cs="Calibri"/>
              </w:rPr>
              <w:t>Dublin Port is Ireland’s largest and busiest port with over 17,000 ship movements per year</w:t>
            </w:r>
            <w:r w:rsidR="009657EB">
              <w:rPr>
                <w:rFonts w:eastAsia="Times New Roman" w:cs="Calibri"/>
              </w:rPr>
              <w:t>.</w:t>
            </w:r>
            <w:r w:rsidRPr="00CF1F8D">
              <w:rPr>
                <w:rFonts w:eastAsia="Times New Roman" w:cs="Calibri"/>
              </w:rPr>
              <w:t xml:space="preserve"> Dublin Port Company (DPC) is a State-owned commercial company responsible for operating and developing Dublin Port.</w:t>
            </w:r>
          </w:p>
          <w:p w14:paraId="68F7F5DB" w14:textId="77777777" w:rsidR="00A3745A" w:rsidRPr="005E1DB6" w:rsidRDefault="00A3745A" w:rsidP="00A3745A">
            <w:pPr>
              <w:spacing w:before="60" w:after="60" w:line="240" w:lineRule="auto"/>
              <w:jc w:val="both"/>
              <w:rPr>
                <w:rFonts w:cs="Calibri"/>
                <w:color w:val="000000"/>
                <w:lang w:eastAsia="en-GB"/>
              </w:rPr>
            </w:pPr>
            <w:r w:rsidRPr="005E1DB6">
              <w:rPr>
                <w:rFonts w:cs="Calibri"/>
                <w:color w:val="000000"/>
                <w:lang w:eastAsia="en-GB"/>
              </w:rPr>
              <w:t>DPC is an infrastructure provider and services at the Port are provided by private sector companies, operating in competitive markets under the terms of a variety of franchise agreements with DPC.  These franchises include long-term land leases, land licences, stevedoring licences and operating agreements.</w:t>
            </w:r>
          </w:p>
          <w:p w14:paraId="29D6B04F" w14:textId="77777777" w:rsidR="00A3745A" w:rsidRPr="005E1DB6" w:rsidRDefault="00A3745A" w:rsidP="00A3745A">
            <w:pPr>
              <w:pStyle w:val="ListParagraph"/>
              <w:spacing w:after="0" w:line="240" w:lineRule="auto"/>
              <w:ind w:left="0"/>
              <w:jc w:val="both"/>
              <w:rPr>
                <w:rFonts w:eastAsia="Times New Roman" w:cs="Calibri"/>
              </w:rPr>
            </w:pPr>
            <w:r w:rsidRPr="005E1DB6">
              <w:rPr>
                <w:rFonts w:eastAsia="Times New Roman" w:cs="Calibri"/>
              </w:rPr>
              <w:t xml:space="preserve"> </w:t>
            </w:r>
          </w:p>
          <w:p w14:paraId="761BF11D" w14:textId="77777777" w:rsidR="0018470D" w:rsidRPr="005E1DB6" w:rsidRDefault="0018470D" w:rsidP="0018470D">
            <w:pPr>
              <w:spacing w:before="60" w:after="60" w:line="240" w:lineRule="auto"/>
              <w:rPr>
                <w:rFonts w:cs="Calibri"/>
                <w:color w:val="000000"/>
                <w:lang w:eastAsia="en-GB"/>
              </w:rPr>
            </w:pPr>
            <w:r w:rsidRPr="005E1DB6">
              <w:rPr>
                <w:rFonts w:cs="Calibri"/>
                <w:color w:val="000000"/>
                <w:lang w:eastAsia="en-GB"/>
              </w:rPr>
              <w:t xml:space="preserve">Reporting to the Harbour Master and/or his designate (Marine Supervisor) </w:t>
            </w:r>
          </w:p>
          <w:p w14:paraId="5163AA49" w14:textId="74141FC3" w:rsidR="00A3745A" w:rsidRPr="00F5491C" w:rsidRDefault="0018470D" w:rsidP="0018470D">
            <w:pPr>
              <w:spacing w:before="60" w:after="60" w:line="240" w:lineRule="auto"/>
              <w:jc w:val="both"/>
              <w:rPr>
                <w:rFonts w:cs="Calibri"/>
                <w:color w:val="FF0000"/>
                <w:lang w:eastAsia="en-GB"/>
              </w:rPr>
            </w:pPr>
            <w:r>
              <w:br/>
            </w:r>
            <w:r w:rsidRPr="00814E80">
              <w:rPr>
                <w:rFonts w:cs="Calibri"/>
                <w:lang w:eastAsia="en-GB"/>
              </w:rPr>
              <w:t xml:space="preserve">This role will include all aspects of Marine Operative work within Dublin Port. </w:t>
            </w:r>
            <w:r w:rsidRPr="00814E80">
              <w:rPr>
                <w:rFonts w:cs="Calibri"/>
              </w:rPr>
              <w:t>Acting as a member of a multi-skilled team of Marine Operatives interacting with other groups who are interdependent on each working towards a common goal i.e</w:t>
            </w:r>
            <w:r w:rsidR="2EC09291" w:rsidRPr="00814E80">
              <w:rPr>
                <w:rFonts w:cs="Calibri"/>
              </w:rPr>
              <w:t>.,</w:t>
            </w:r>
            <w:r w:rsidRPr="00814E80">
              <w:rPr>
                <w:rFonts w:cs="Calibri"/>
              </w:rPr>
              <w:t xml:space="preserve"> pilots, VTS, shipping desk etc. The role includes but is not limited to: pilot cutter coxswain/deck-hand, vessel positioning, responding to a marine emergencies/pollution incidents, operating on all marine craft including all work vessels and driving port vehicles.</w:t>
            </w:r>
            <w:r w:rsidR="00172F1C" w:rsidRPr="00814E80">
              <w:rPr>
                <w:rFonts w:cs="Calibri"/>
              </w:rPr>
              <w:t xml:space="preserve"> </w:t>
            </w:r>
          </w:p>
        </w:tc>
      </w:tr>
      <w:tr w:rsidR="00A3745A" w:rsidRPr="00F00566" w14:paraId="39900012" w14:textId="4615BFA8" w:rsidTr="00814E80">
        <w:tc>
          <w:tcPr>
            <w:tcW w:w="1951" w:type="dxa"/>
          </w:tcPr>
          <w:p w14:paraId="6E48AD26" w14:textId="77777777" w:rsidR="00A3745A" w:rsidRPr="00F00566" w:rsidRDefault="00A3745A" w:rsidP="00A3745A">
            <w:pPr>
              <w:spacing w:before="60" w:after="60" w:line="240" w:lineRule="auto"/>
              <w:rPr>
                <w:rFonts w:cs="Calibri"/>
                <w:b/>
                <w:lang w:eastAsia="en-GB"/>
              </w:rPr>
            </w:pPr>
            <w:r>
              <w:rPr>
                <w:rFonts w:cs="Calibri"/>
                <w:b/>
                <w:lang w:eastAsia="en-GB"/>
              </w:rPr>
              <w:t>Key Responsibilities</w:t>
            </w:r>
          </w:p>
        </w:tc>
        <w:tc>
          <w:tcPr>
            <w:tcW w:w="7324" w:type="dxa"/>
            <w:gridSpan w:val="2"/>
          </w:tcPr>
          <w:p w14:paraId="235CB583" w14:textId="77777777" w:rsidR="00A3745A" w:rsidRDefault="00F5491C" w:rsidP="005D7ED6">
            <w:pPr>
              <w:numPr>
                <w:ilvl w:val="0"/>
                <w:numId w:val="5"/>
              </w:numPr>
              <w:spacing w:before="60" w:after="60" w:line="240" w:lineRule="auto"/>
              <w:rPr>
                <w:rFonts w:cs="Calibri"/>
                <w:lang w:eastAsia="en-GB"/>
              </w:rPr>
            </w:pPr>
            <w:r>
              <w:rPr>
                <w:rFonts w:cs="Calibri"/>
                <w:lang w:eastAsia="en-GB"/>
              </w:rPr>
              <w:t>Crewing of Pilot Cutter, Multicat vessel and all DPC work vessels.</w:t>
            </w:r>
          </w:p>
          <w:p w14:paraId="45B2FF1C" w14:textId="77777777" w:rsidR="00F5491C" w:rsidRDefault="00F5491C" w:rsidP="005D7ED6">
            <w:pPr>
              <w:numPr>
                <w:ilvl w:val="0"/>
                <w:numId w:val="5"/>
              </w:numPr>
              <w:spacing w:before="60" w:after="60" w:line="240" w:lineRule="auto"/>
              <w:rPr>
                <w:rFonts w:cs="Calibri"/>
                <w:lang w:eastAsia="en-GB"/>
              </w:rPr>
            </w:pPr>
            <w:r>
              <w:rPr>
                <w:rFonts w:cs="Calibri"/>
                <w:lang w:eastAsia="en-GB"/>
              </w:rPr>
              <w:t>Buoyage work</w:t>
            </w:r>
          </w:p>
          <w:p w14:paraId="1902CE35" w14:textId="77777777" w:rsidR="00205C13" w:rsidRDefault="00205C13" w:rsidP="005D7ED6">
            <w:pPr>
              <w:numPr>
                <w:ilvl w:val="0"/>
                <w:numId w:val="5"/>
              </w:numPr>
              <w:spacing w:before="60" w:after="60" w:line="240" w:lineRule="auto"/>
              <w:rPr>
                <w:rFonts w:cs="Calibri"/>
                <w:lang w:eastAsia="en-GB"/>
              </w:rPr>
            </w:pPr>
            <w:r>
              <w:rPr>
                <w:rFonts w:cs="Calibri"/>
                <w:lang w:eastAsia="en-GB"/>
              </w:rPr>
              <w:t>Eastlink Bridge operation</w:t>
            </w:r>
            <w:r w:rsidR="00D7569B">
              <w:rPr>
                <w:rFonts w:cs="Calibri"/>
                <w:lang w:eastAsia="en-GB"/>
              </w:rPr>
              <w:t>s</w:t>
            </w:r>
          </w:p>
          <w:p w14:paraId="0563A642" w14:textId="77777777" w:rsidR="00205C13" w:rsidRDefault="00205C13" w:rsidP="005D7ED6">
            <w:pPr>
              <w:numPr>
                <w:ilvl w:val="0"/>
                <w:numId w:val="5"/>
              </w:numPr>
              <w:spacing w:before="60" w:after="60" w:line="240" w:lineRule="auto"/>
              <w:rPr>
                <w:rFonts w:cs="Calibri"/>
                <w:lang w:eastAsia="en-GB"/>
              </w:rPr>
            </w:pPr>
            <w:r>
              <w:rPr>
                <w:rFonts w:cs="Calibri"/>
                <w:lang w:eastAsia="en-GB"/>
              </w:rPr>
              <w:t>Fender operations</w:t>
            </w:r>
          </w:p>
          <w:p w14:paraId="6A131952" w14:textId="77777777" w:rsidR="00205C13" w:rsidRDefault="00205C13" w:rsidP="005D7ED6">
            <w:pPr>
              <w:numPr>
                <w:ilvl w:val="0"/>
                <w:numId w:val="5"/>
              </w:numPr>
              <w:spacing w:before="60" w:after="60" w:line="240" w:lineRule="auto"/>
              <w:rPr>
                <w:rFonts w:cs="Calibri"/>
                <w:lang w:eastAsia="en-GB"/>
              </w:rPr>
            </w:pPr>
            <w:r>
              <w:rPr>
                <w:rFonts w:cs="Calibri"/>
                <w:lang w:eastAsia="en-GB"/>
              </w:rPr>
              <w:t>Berthing guidance for Marine Pilots</w:t>
            </w:r>
          </w:p>
          <w:p w14:paraId="6CE4D2AE" w14:textId="77777777" w:rsidR="00205C13" w:rsidRDefault="00205C13" w:rsidP="005D7ED6">
            <w:pPr>
              <w:numPr>
                <w:ilvl w:val="0"/>
                <w:numId w:val="5"/>
              </w:numPr>
              <w:spacing w:before="60" w:after="60" w:line="240" w:lineRule="auto"/>
              <w:rPr>
                <w:rFonts w:cs="Calibri"/>
                <w:lang w:eastAsia="en-GB"/>
              </w:rPr>
            </w:pPr>
            <w:r>
              <w:rPr>
                <w:rFonts w:cs="Calibri"/>
                <w:lang w:eastAsia="en-GB"/>
              </w:rPr>
              <w:t>Transportation of Marine Pilots within Port Estate (Full Licence)</w:t>
            </w:r>
          </w:p>
          <w:p w14:paraId="47287F82" w14:textId="77777777" w:rsidR="00205C13" w:rsidRDefault="00F5491C" w:rsidP="005D7ED6">
            <w:pPr>
              <w:numPr>
                <w:ilvl w:val="0"/>
                <w:numId w:val="5"/>
              </w:numPr>
              <w:spacing w:before="60" w:after="60" w:line="240" w:lineRule="auto"/>
              <w:rPr>
                <w:rFonts w:cs="Calibri"/>
                <w:lang w:eastAsia="en-GB"/>
              </w:rPr>
            </w:pPr>
            <w:r>
              <w:rPr>
                <w:rFonts w:cs="Calibri"/>
                <w:lang w:eastAsia="en-GB"/>
              </w:rPr>
              <w:t xml:space="preserve">Marine Emergency, </w:t>
            </w:r>
            <w:r w:rsidR="00205C13">
              <w:rPr>
                <w:rFonts w:cs="Calibri"/>
                <w:lang w:eastAsia="en-GB"/>
              </w:rPr>
              <w:t>Oil spill first responder</w:t>
            </w:r>
            <w:r w:rsidR="00D7569B">
              <w:rPr>
                <w:rFonts w:cs="Calibri"/>
                <w:lang w:eastAsia="en-GB"/>
              </w:rPr>
              <w:t>, dealing with booms.</w:t>
            </w:r>
          </w:p>
          <w:p w14:paraId="2DD394F4" w14:textId="77777777" w:rsidR="00205C13" w:rsidRDefault="00205C13" w:rsidP="005D7ED6">
            <w:pPr>
              <w:numPr>
                <w:ilvl w:val="0"/>
                <w:numId w:val="5"/>
              </w:numPr>
              <w:spacing w:before="60" w:after="60" w:line="240" w:lineRule="auto"/>
              <w:rPr>
                <w:rFonts w:cs="Calibri"/>
                <w:lang w:eastAsia="en-GB"/>
              </w:rPr>
            </w:pPr>
            <w:r>
              <w:rPr>
                <w:rFonts w:cs="Calibri"/>
                <w:lang w:eastAsia="en-GB"/>
              </w:rPr>
              <w:t>VTS Operator providing meal relief cover (When VTS Certified)</w:t>
            </w:r>
          </w:p>
          <w:p w14:paraId="2DD2E950" w14:textId="77777777" w:rsidR="00D7569B" w:rsidRDefault="00D7569B" w:rsidP="005D7ED6">
            <w:pPr>
              <w:numPr>
                <w:ilvl w:val="0"/>
                <w:numId w:val="5"/>
              </w:numPr>
              <w:spacing w:before="60" w:after="60" w:line="240" w:lineRule="auto"/>
              <w:rPr>
                <w:rFonts w:cs="Calibri"/>
                <w:lang w:eastAsia="en-GB"/>
              </w:rPr>
            </w:pPr>
            <w:r>
              <w:rPr>
                <w:rFonts w:cs="Calibri"/>
                <w:lang w:eastAsia="en-GB"/>
              </w:rPr>
              <w:t>DPC Tug Mate (When Tug Trained)</w:t>
            </w:r>
          </w:p>
          <w:p w14:paraId="5A8A2551" w14:textId="77777777" w:rsidR="00205C13" w:rsidRDefault="00205C13" w:rsidP="005D7ED6">
            <w:pPr>
              <w:numPr>
                <w:ilvl w:val="0"/>
                <w:numId w:val="5"/>
              </w:numPr>
              <w:spacing w:before="60" w:after="60" w:line="240" w:lineRule="auto"/>
              <w:rPr>
                <w:rFonts w:cs="Calibri"/>
                <w:lang w:eastAsia="en-GB"/>
              </w:rPr>
            </w:pPr>
            <w:r>
              <w:rPr>
                <w:rFonts w:cs="Calibri"/>
                <w:lang w:eastAsia="en-GB"/>
              </w:rPr>
              <w:t>Safety checks on Marine safety equipment</w:t>
            </w:r>
          </w:p>
          <w:p w14:paraId="498EABF9" w14:textId="77777777" w:rsidR="00205C13" w:rsidRDefault="00205C13" w:rsidP="005D7ED6">
            <w:pPr>
              <w:numPr>
                <w:ilvl w:val="0"/>
                <w:numId w:val="5"/>
              </w:numPr>
              <w:spacing w:before="60" w:after="60" w:line="240" w:lineRule="auto"/>
              <w:rPr>
                <w:rFonts w:cs="Calibri"/>
                <w:lang w:eastAsia="en-GB"/>
              </w:rPr>
            </w:pPr>
            <w:r>
              <w:rPr>
                <w:rFonts w:cs="Calibri"/>
                <w:lang w:eastAsia="en-GB"/>
              </w:rPr>
              <w:t xml:space="preserve">Incident reporting. </w:t>
            </w:r>
          </w:p>
          <w:p w14:paraId="4CB0861A" w14:textId="77777777" w:rsidR="005D7ED6" w:rsidRPr="0014490F" w:rsidRDefault="00D7569B" w:rsidP="0014490F">
            <w:pPr>
              <w:numPr>
                <w:ilvl w:val="0"/>
                <w:numId w:val="5"/>
              </w:numPr>
              <w:spacing w:before="60" w:after="60" w:line="240" w:lineRule="auto"/>
              <w:rPr>
                <w:rFonts w:cs="Calibri"/>
                <w:lang w:eastAsia="en-GB"/>
              </w:rPr>
            </w:pPr>
            <w:r>
              <w:rPr>
                <w:rFonts w:cs="Calibri"/>
                <w:lang w:eastAsia="en-GB"/>
              </w:rPr>
              <w:t>Quay wall, lifebuoy &amp; fender condition reporting.</w:t>
            </w:r>
          </w:p>
        </w:tc>
      </w:tr>
      <w:tr w:rsidR="00A3745A" w:rsidRPr="00F00566" w14:paraId="7DEBD78E" w14:textId="25AAE907" w:rsidTr="00814E80">
        <w:tc>
          <w:tcPr>
            <w:tcW w:w="1951" w:type="dxa"/>
          </w:tcPr>
          <w:p w14:paraId="2A76651A" w14:textId="77777777" w:rsidR="00A3745A" w:rsidRDefault="00A3745A" w:rsidP="00A3745A">
            <w:pPr>
              <w:spacing w:before="60" w:after="60" w:line="240" w:lineRule="auto"/>
              <w:rPr>
                <w:rFonts w:cs="Calibri"/>
                <w:b/>
                <w:lang w:eastAsia="en-GB"/>
              </w:rPr>
            </w:pPr>
            <w:r>
              <w:rPr>
                <w:rFonts w:cs="Calibri"/>
                <w:b/>
                <w:lang w:eastAsia="en-GB"/>
              </w:rPr>
              <w:t>Key Competencies</w:t>
            </w:r>
          </w:p>
        </w:tc>
        <w:tc>
          <w:tcPr>
            <w:tcW w:w="7324" w:type="dxa"/>
            <w:gridSpan w:val="2"/>
          </w:tcPr>
          <w:p w14:paraId="4D6EB652" w14:textId="77777777" w:rsidR="00A3745A" w:rsidRDefault="00A3745A" w:rsidP="00A3745A">
            <w:pPr>
              <w:spacing w:before="60" w:after="60" w:line="240" w:lineRule="auto"/>
              <w:jc w:val="both"/>
              <w:rPr>
                <w:rFonts w:cs="Calibri"/>
                <w:b/>
                <w:lang w:eastAsia="en-GB"/>
              </w:rPr>
            </w:pPr>
            <w:r w:rsidRPr="00A3745A">
              <w:rPr>
                <w:rFonts w:cs="Calibri"/>
                <w:b/>
                <w:lang w:eastAsia="en-GB"/>
              </w:rPr>
              <w:t>Core Competencies</w:t>
            </w:r>
          </w:p>
          <w:p w14:paraId="6266B525" w14:textId="68BF569B" w:rsidR="00A3745A" w:rsidRPr="00A3745A" w:rsidRDefault="00A3745A" w:rsidP="00A3745A">
            <w:pPr>
              <w:numPr>
                <w:ilvl w:val="0"/>
                <w:numId w:val="5"/>
              </w:numPr>
              <w:spacing w:before="60" w:after="60" w:line="240" w:lineRule="auto"/>
              <w:jc w:val="both"/>
              <w:rPr>
                <w:rFonts w:cs="Calibri"/>
                <w:lang w:eastAsia="en-GB"/>
              </w:rPr>
            </w:pPr>
            <w:r w:rsidRPr="00A3745A">
              <w:rPr>
                <w:rFonts w:cs="Calibri"/>
                <w:b/>
                <w:bCs/>
                <w:lang w:eastAsia="en-GB"/>
              </w:rPr>
              <w:t xml:space="preserve">Effective Communications - </w:t>
            </w:r>
            <w:r w:rsidRPr="08D596D7">
              <w:rPr>
                <w:rFonts w:cs="Calibri"/>
                <w:b/>
                <w:lang w:eastAsia="en-GB"/>
              </w:rPr>
              <w:t>expresses</w:t>
            </w:r>
            <w:r w:rsidRPr="00A3745A">
              <w:rPr>
                <w:rFonts w:cs="Calibri"/>
                <w:lang w:eastAsia="en-GB"/>
              </w:rPr>
              <w:t xml:space="preserve"> thoughts and ideas in a clear and concise way using a style that is appropriate to the audience so as to engage and gain buy in</w:t>
            </w:r>
          </w:p>
          <w:p w14:paraId="7F846154" w14:textId="6908CA5E" w:rsidR="00A3745A" w:rsidRPr="00A3745A" w:rsidRDefault="00A3745A" w:rsidP="00A3745A">
            <w:pPr>
              <w:numPr>
                <w:ilvl w:val="0"/>
                <w:numId w:val="5"/>
              </w:numPr>
              <w:spacing w:before="60" w:after="60" w:line="240" w:lineRule="auto"/>
              <w:jc w:val="both"/>
              <w:rPr>
                <w:rFonts w:cs="Calibri"/>
                <w:lang w:eastAsia="en-GB"/>
              </w:rPr>
            </w:pPr>
            <w:r w:rsidRPr="00A3745A">
              <w:rPr>
                <w:rFonts w:cs="Calibri"/>
                <w:b/>
                <w:bCs/>
                <w:lang w:eastAsia="en-GB"/>
              </w:rPr>
              <w:t xml:space="preserve">Decision-making &amp; Problem-solving </w:t>
            </w:r>
            <w:r w:rsidRPr="00A3745A">
              <w:rPr>
                <w:rFonts w:cs="Calibri"/>
                <w:b/>
                <w:lang w:eastAsia="en-GB"/>
              </w:rPr>
              <w:t xml:space="preserve">– </w:t>
            </w:r>
            <w:r w:rsidRPr="00A3745A">
              <w:rPr>
                <w:rFonts w:cs="Calibri"/>
                <w:lang w:eastAsia="en-GB"/>
              </w:rPr>
              <w:t>uses sound judgement to make good decisions based on analysis of information, business need, risks and governance. Considers all relevant facts and alternatives before deciding on the most appropriate action</w:t>
            </w:r>
          </w:p>
          <w:p w14:paraId="672A6659" w14:textId="77777777" w:rsidR="00A3745A" w:rsidRDefault="00A3745A" w:rsidP="00A3745A">
            <w:pPr>
              <w:spacing w:before="60" w:after="60" w:line="240" w:lineRule="auto"/>
              <w:jc w:val="both"/>
              <w:rPr>
                <w:rFonts w:cs="Calibri"/>
                <w:b/>
                <w:lang w:eastAsia="en-GB"/>
              </w:rPr>
            </w:pPr>
          </w:p>
          <w:p w14:paraId="635C559A" w14:textId="77777777" w:rsidR="00A3745A" w:rsidRPr="00A3745A" w:rsidRDefault="00A3745A" w:rsidP="00A3745A">
            <w:pPr>
              <w:spacing w:before="60" w:after="60" w:line="240" w:lineRule="auto"/>
              <w:jc w:val="both"/>
              <w:rPr>
                <w:rFonts w:cs="Calibri"/>
                <w:b/>
                <w:lang w:eastAsia="en-GB"/>
              </w:rPr>
            </w:pPr>
            <w:r w:rsidRPr="00A3745A">
              <w:rPr>
                <w:rFonts w:cs="Calibri"/>
                <w:b/>
                <w:lang w:eastAsia="en-GB"/>
              </w:rPr>
              <w:lastRenderedPageBreak/>
              <w:t>Leadership Competencies</w:t>
            </w:r>
          </w:p>
          <w:p w14:paraId="0714B19F" w14:textId="77777777" w:rsidR="00A3745A" w:rsidRPr="00A3745A" w:rsidRDefault="00A3745A" w:rsidP="00A3745A">
            <w:pPr>
              <w:numPr>
                <w:ilvl w:val="0"/>
                <w:numId w:val="5"/>
              </w:numPr>
              <w:spacing w:before="60" w:after="60" w:line="240" w:lineRule="auto"/>
              <w:jc w:val="both"/>
              <w:rPr>
                <w:rFonts w:cs="Calibri"/>
                <w:lang w:eastAsia="en-GB"/>
              </w:rPr>
            </w:pPr>
            <w:r w:rsidRPr="00A3745A">
              <w:rPr>
                <w:rFonts w:cs="Calibri"/>
                <w:b/>
                <w:lang w:eastAsia="en-GB"/>
              </w:rPr>
              <w:t>Leading yourself</w:t>
            </w:r>
            <w:r w:rsidRPr="00A3745A">
              <w:rPr>
                <w:rFonts w:cs="Calibri"/>
                <w:lang w:eastAsia="en-GB"/>
              </w:rPr>
              <w:t xml:space="preserve"> - Holds oneself accountable, acts with integrity, manages own mind set, behaviours and workplace relationships. It also includes an enthusiasm for learning and development, focus and discipline to achieve own goals.</w:t>
            </w:r>
          </w:p>
          <w:p w14:paraId="0A37501D" w14:textId="77777777" w:rsidR="00A3745A" w:rsidRDefault="00A3745A" w:rsidP="00A3745A">
            <w:pPr>
              <w:spacing w:before="60" w:after="60" w:line="240" w:lineRule="auto"/>
              <w:jc w:val="both"/>
              <w:rPr>
                <w:rFonts w:cs="Calibri"/>
                <w:b/>
                <w:lang w:eastAsia="en-GB"/>
              </w:rPr>
            </w:pPr>
          </w:p>
          <w:p w14:paraId="0914418B" w14:textId="77777777" w:rsidR="00A3745A" w:rsidRDefault="00A3745A" w:rsidP="00A3745A">
            <w:pPr>
              <w:spacing w:before="60" w:after="60" w:line="240" w:lineRule="auto"/>
              <w:jc w:val="both"/>
              <w:rPr>
                <w:rFonts w:cs="Calibri"/>
                <w:b/>
                <w:lang w:eastAsia="en-GB"/>
              </w:rPr>
            </w:pPr>
            <w:r w:rsidRPr="00A3745A">
              <w:rPr>
                <w:rFonts w:cs="Calibri"/>
                <w:b/>
                <w:lang w:eastAsia="en-GB"/>
              </w:rPr>
              <w:t xml:space="preserve">Behavioural competencies </w:t>
            </w:r>
          </w:p>
          <w:p w14:paraId="2AD2353C" w14:textId="77777777" w:rsidR="00A3745A" w:rsidRPr="00A3745A" w:rsidRDefault="00A3745A" w:rsidP="00A3745A">
            <w:pPr>
              <w:numPr>
                <w:ilvl w:val="0"/>
                <w:numId w:val="5"/>
              </w:numPr>
              <w:spacing w:before="60" w:after="60" w:line="240" w:lineRule="auto"/>
              <w:jc w:val="both"/>
              <w:rPr>
                <w:rFonts w:cs="Calibri"/>
                <w:b/>
                <w:lang w:eastAsia="en-GB"/>
              </w:rPr>
            </w:pPr>
            <w:r w:rsidRPr="00A3745A">
              <w:rPr>
                <w:rFonts w:cs="Calibri"/>
                <w:b/>
                <w:lang w:eastAsia="en-GB"/>
              </w:rPr>
              <w:t>Critical thinking</w:t>
            </w:r>
            <w:r>
              <w:rPr>
                <w:rFonts w:cs="Calibri"/>
                <w:b/>
                <w:lang w:eastAsia="en-GB"/>
              </w:rPr>
              <w:t xml:space="preserve"> </w:t>
            </w:r>
            <w:r w:rsidRPr="00A3745A">
              <w:rPr>
                <w:rFonts w:cs="Calibri"/>
                <w:lang w:eastAsia="en-GB"/>
              </w:rPr>
              <w:t>- Has ability to conceptualize, evaluate, analyse, synthesize and apply information gathered from observation, experience, reflection and reasoning.</w:t>
            </w:r>
          </w:p>
          <w:p w14:paraId="41765554" w14:textId="77777777" w:rsidR="00A3745A" w:rsidRDefault="00A3745A" w:rsidP="00A3745A">
            <w:pPr>
              <w:numPr>
                <w:ilvl w:val="0"/>
                <w:numId w:val="5"/>
              </w:numPr>
              <w:spacing w:before="60" w:after="60" w:line="240" w:lineRule="auto"/>
              <w:jc w:val="both"/>
              <w:rPr>
                <w:rFonts w:cs="Calibri"/>
                <w:b/>
                <w:lang w:eastAsia="en-GB"/>
              </w:rPr>
            </w:pPr>
            <w:r>
              <w:rPr>
                <w:rFonts w:cs="Calibri"/>
                <w:b/>
                <w:lang w:eastAsia="en-GB"/>
              </w:rPr>
              <w:t xml:space="preserve">Relationship building - </w:t>
            </w:r>
            <w:r w:rsidRPr="00A3745A">
              <w:rPr>
                <w:rFonts w:cs="Calibri"/>
                <w:lang w:eastAsia="en-GB"/>
              </w:rPr>
              <w:t>Establishes rapport with people easily, developing and maintaining a network of contacts who can provide information, help and access to others.</w:t>
            </w:r>
          </w:p>
          <w:p w14:paraId="5DAB6C7B" w14:textId="77777777" w:rsidR="00A3745A" w:rsidRPr="00A3745A" w:rsidRDefault="00A3745A" w:rsidP="00A3745A">
            <w:pPr>
              <w:spacing w:before="60" w:after="60" w:line="240" w:lineRule="auto"/>
              <w:jc w:val="both"/>
              <w:rPr>
                <w:rFonts w:cs="Calibri"/>
                <w:b/>
                <w:lang w:eastAsia="en-GB"/>
              </w:rPr>
            </w:pPr>
          </w:p>
          <w:p w14:paraId="05AD91E8" w14:textId="77777777" w:rsidR="00A3745A" w:rsidRPr="00A3745A" w:rsidRDefault="00A3745A" w:rsidP="00A3745A">
            <w:pPr>
              <w:spacing w:before="60" w:after="60" w:line="240" w:lineRule="auto"/>
              <w:jc w:val="both"/>
              <w:rPr>
                <w:rFonts w:cs="Calibri"/>
                <w:b/>
                <w:lang w:eastAsia="en-GB"/>
              </w:rPr>
            </w:pPr>
            <w:r w:rsidRPr="00A3745A">
              <w:rPr>
                <w:rFonts w:cs="Calibri"/>
                <w:b/>
                <w:lang w:eastAsia="en-GB"/>
              </w:rPr>
              <w:t>Technical Competencies</w:t>
            </w:r>
          </w:p>
          <w:p w14:paraId="4DE60E39" w14:textId="77777777" w:rsidR="00A3745A" w:rsidRPr="00400651" w:rsidRDefault="00A3745A" w:rsidP="00A3745A">
            <w:pPr>
              <w:numPr>
                <w:ilvl w:val="0"/>
                <w:numId w:val="5"/>
              </w:numPr>
              <w:spacing w:before="60" w:after="60" w:line="240" w:lineRule="auto"/>
              <w:rPr>
                <w:rFonts w:cs="Calibri"/>
                <w:lang w:eastAsia="en-GB"/>
              </w:rPr>
            </w:pPr>
            <w:r>
              <w:rPr>
                <w:rFonts w:cs="Calibri"/>
                <w:b/>
                <w:lang w:eastAsia="en-GB"/>
              </w:rPr>
              <w:t>Ship Handling –</w:t>
            </w:r>
            <w:r>
              <w:rPr>
                <w:rFonts w:cs="Calibri"/>
                <w:lang w:eastAsia="en-GB"/>
              </w:rPr>
              <w:t xml:space="preserve"> plans and prepares ship movements taking into account vessel, environmental, human and shipping traffic factors.</w:t>
            </w:r>
          </w:p>
        </w:tc>
      </w:tr>
      <w:tr w:rsidR="00A3745A" w:rsidRPr="00F00566" w14:paraId="6E5D7AB3" w14:textId="34C40C4B" w:rsidTr="00814E80">
        <w:tc>
          <w:tcPr>
            <w:tcW w:w="1951" w:type="dxa"/>
          </w:tcPr>
          <w:p w14:paraId="433C0D1A" w14:textId="77777777" w:rsidR="00A3745A" w:rsidRDefault="00A3745A" w:rsidP="00A3745A">
            <w:pPr>
              <w:spacing w:before="60" w:after="60" w:line="240" w:lineRule="auto"/>
              <w:rPr>
                <w:rFonts w:cs="Calibri"/>
                <w:b/>
                <w:lang w:eastAsia="en-GB"/>
              </w:rPr>
            </w:pPr>
            <w:r w:rsidRPr="00A3745A">
              <w:rPr>
                <w:rFonts w:cs="Calibri"/>
                <w:b/>
                <w:lang w:eastAsia="en-GB"/>
              </w:rPr>
              <w:lastRenderedPageBreak/>
              <w:t>Qualifications, experience and required skills</w:t>
            </w:r>
          </w:p>
        </w:tc>
        <w:tc>
          <w:tcPr>
            <w:tcW w:w="7324" w:type="dxa"/>
            <w:gridSpan w:val="2"/>
          </w:tcPr>
          <w:p w14:paraId="0E8977E9" w14:textId="77777777" w:rsidR="00A3745A" w:rsidRDefault="00A3745A" w:rsidP="00A3745A">
            <w:pPr>
              <w:spacing w:before="60" w:after="60" w:line="240" w:lineRule="auto"/>
              <w:rPr>
                <w:rFonts w:cs="Calibri"/>
                <w:b/>
                <w:lang w:eastAsia="en-GB"/>
              </w:rPr>
            </w:pPr>
            <w:r w:rsidRPr="002220A7">
              <w:rPr>
                <w:rFonts w:cs="Calibri"/>
                <w:b/>
                <w:lang w:eastAsia="en-GB"/>
              </w:rPr>
              <w:t>Must Have:</w:t>
            </w:r>
          </w:p>
          <w:p w14:paraId="13833B61" w14:textId="77777777" w:rsidR="0062239C" w:rsidRPr="0010457B" w:rsidRDefault="0062239C" w:rsidP="0062239C">
            <w:pPr>
              <w:pStyle w:val="ListParagraph"/>
              <w:numPr>
                <w:ilvl w:val="0"/>
                <w:numId w:val="7"/>
              </w:numPr>
              <w:spacing w:after="0" w:line="240" w:lineRule="auto"/>
              <w:rPr>
                <w:rFonts w:asciiTheme="minorHAnsi" w:hAnsiTheme="minorHAnsi" w:cstheme="minorHAnsi"/>
                <w:szCs w:val="20"/>
              </w:rPr>
            </w:pPr>
            <w:r w:rsidRPr="0010457B">
              <w:rPr>
                <w:rFonts w:asciiTheme="minorHAnsi" w:hAnsiTheme="minorHAnsi" w:cstheme="minorHAnsi"/>
                <w:szCs w:val="20"/>
              </w:rPr>
              <w:t>Officer of the Watch</w:t>
            </w:r>
            <w:r>
              <w:rPr>
                <w:rFonts w:asciiTheme="minorHAnsi" w:hAnsiTheme="minorHAnsi" w:cstheme="minorHAnsi"/>
                <w:szCs w:val="20"/>
              </w:rPr>
              <w:t xml:space="preserve"> Deck</w:t>
            </w:r>
            <w:r w:rsidRPr="0010457B">
              <w:rPr>
                <w:rFonts w:asciiTheme="minorHAnsi" w:hAnsiTheme="minorHAnsi" w:cstheme="minorHAnsi"/>
                <w:szCs w:val="20"/>
              </w:rPr>
              <w:t xml:space="preserve"> (OOW) </w:t>
            </w:r>
            <w:r>
              <w:rPr>
                <w:rFonts w:asciiTheme="minorHAnsi" w:hAnsiTheme="minorHAnsi" w:cstheme="minorHAnsi"/>
                <w:szCs w:val="20"/>
              </w:rPr>
              <w:t xml:space="preserve">and or </w:t>
            </w:r>
            <w:r w:rsidRPr="0010457B">
              <w:rPr>
                <w:rFonts w:asciiTheme="minorHAnsi" w:hAnsiTheme="minorHAnsi" w:cstheme="minorHAnsi"/>
                <w:szCs w:val="20"/>
              </w:rPr>
              <w:t>Equivalent Certificate of Competency (CEC) suitable for working within the Irish Mercantile Marine</w:t>
            </w:r>
          </w:p>
          <w:p w14:paraId="146F98F3" w14:textId="77777777" w:rsidR="005D7ED6" w:rsidRPr="006712B4" w:rsidRDefault="005D7ED6" w:rsidP="0062239C">
            <w:pPr>
              <w:pStyle w:val="ListParagraph"/>
              <w:numPr>
                <w:ilvl w:val="0"/>
                <w:numId w:val="7"/>
              </w:numPr>
              <w:spacing w:before="60" w:after="60" w:line="240" w:lineRule="auto"/>
              <w:contextualSpacing w:val="0"/>
              <w:rPr>
                <w:rFonts w:cs="Calibri"/>
              </w:rPr>
            </w:pPr>
            <w:r w:rsidRPr="006712B4">
              <w:rPr>
                <w:rFonts w:cs="Calibri"/>
              </w:rPr>
              <w:t>Excellent interpersonal skills</w:t>
            </w:r>
          </w:p>
          <w:p w14:paraId="33E606BA" w14:textId="698F00A8" w:rsidR="00547E7D" w:rsidRPr="006A54AF" w:rsidRDefault="00547E7D" w:rsidP="006A54AF">
            <w:pPr>
              <w:pStyle w:val="ListParagraph"/>
              <w:numPr>
                <w:ilvl w:val="0"/>
                <w:numId w:val="5"/>
              </w:numPr>
              <w:spacing w:after="0" w:line="240" w:lineRule="auto"/>
              <w:rPr>
                <w:rFonts w:asciiTheme="minorHAnsi" w:hAnsiTheme="minorHAnsi" w:cstheme="minorHAnsi"/>
                <w:szCs w:val="20"/>
              </w:rPr>
            </w:pPr>
            <w:r w:rsidRPr="00766272">
              <w:rPr>
                <w:rFonts w:asciiTheme="minorHAnsi" w:hAnsiTheme="minorHAnsi" w:cstheme="minorHAnsi"/>
                <w:szCs w:val="20"/>
              </w:rPr>
              <w:t xml:space="preserve">Excellent written and oral communication skills – </w:t>
            </w:r>
            <w:r w:rsidR="006A54AF" w:rsidRPr="00193D0A">
              <w:rPr>
                <w:rFonts w:asciiTheme="minorHAnsi" w:hAnsiTheme="minorHAnsi" w:cstheme="minorHAnsi"/>
                <w:szCs w:val="20"/>
              </w:rPr>
              <w:t xml:space="preserve">Excellent written and oral communication skills </w:t>
            </w:r>
            <w:r w:rsidR="006A54AF">
              <w:rPr>
                <w:rFonts w:asciiTheme="minorHAnsi" w:hAnsiTheme="minorHAnsi" w:cstheme="minorHAnsi"/>
                <w:szCs w:val="20"/>
              </w:rPr>
              <w:t xml:space="preserve">- </w:t>
            </w:r>
            <w:r w:rsidR="006A54AF" w:rsidRPr="00193D0A">
              <w:rPr>
                <w:rFonts w:asciiTheme="minorHAnsi" w:hAnsiTheme="minorHAnsi" w:cstheme="minorHAnsi"/>
                <w:szCs w:val="20"/>
              </w:rPr>
              <w:t>Harbour Operations is a maritime safety critical area with English as our working language. Your proficiency must be at IELTS level 5 or equivalent</w:t>
            </w:r>
          </w:p>
          <w:p w14:paraId="0EF3183C" w14:textId="77777777" w:rsidR="005D7ED6" w:rsidRPr="005D7ED6" w:rsidRDefault="005D7ED6" w:rsidP="0062239C">
            <w:pPr>
              <w:pStyle w:val="ListParagraph"/>
              <w:numPr>
                <w:ilvl w:val="0"/>
                <w:numId w:val="7"/>
              </w:numPr>
              <w:spacing w:before="60" w:after="60" w:line="240" w:lineRule="auto"/>
              <w:contextualSpacing w:val="0"/>
              <w:rPr>
                <w:rFonts w:cs="Calibri"/>
              </w:rPr>
            </w:pPr>
            <w:r w:rsidRPr="005D7ED6">
              <w:rPr>
                <w:rFonts w:cs="Calibri"/>
              </w:rPr>
              <w:t>A full class B clean driving licence</w:t>
            </w:r>
          </w:p>
          <w:p w14:paraId="047ECB0E" w14:textId="77777777" w:rsidR="005D7ED6" w:rsidRPr="005D7ED6" w:rsidRDefault="005D7ED6" w:rsidP="0062239C">
            <w:pPr>
              <w:pStyle w:val="ListParagraph"/>
              <w:numPr>
                <w:ilvl w:val="0"/>
                <w:numId w:val="7"/>
              </w:numPr>
              <w:spacing w:before="60" w:after="60" w:line="240" w:lineRule="auto"/>
              <w:contextualSpacing w:val="0"/>
              <w:rPr>
                <w:rFonts w:cs="Calibri"/>
              </w:rPr>
            </w:pPr>
            <w:r w:rsidRPr="005D7ED6">
              <w:rPr>
                <w:rFonts w:cs="Calibri"/>
              </w:rPr>
              <w:t>PC skills</w:t>
            </w:r>
          </w:p>
          <w:p w14:paraId="16C39D9C" w14:textId="77777777" w:rsidR="0018470D" w:rsidRPr="0018470D" w:rsidRDefault="0018470D" w:rsidP="0062239C">
            <w:pPr>
              <w:pStyle w:val="ListParagraph"/>
              <w:numPr>
                <w:ilvl w:val="0"/>
                <w:numId w:val="7"/>
              </w:numPr>
              <w:spacing w:before="60" w:after="60" w:line="240" w:lineRule="auto"/>
              <w:contextualSpacing w:val="0"/>
              <w:rPr>
                <w:rFonts w:cs="Calibri"/>
              </w:rPr>
            </w:pPr>
            <w:r w:rsidRPr="0018470D">
              <w:rPr>
                <w:rFonts w:cs="Calibri"/>
              </w:rPr>
              <w:t xml:space="preserve">Be capable of achieving a VTS operators V103 certificate </w:t>
            </w:r>
          </w:p>
          <w:p w14:paraId="348B7DA5" w14:textId="77777777" w:rsidR="0014490F" w:rsidRPr="0014490F" w:rsidRDefault="0018470D" w:rsidP="0062239C">
            <w:pPr>
              <w:pStyle w:val="ListParagraph"/>
              <w:numPr>
                <w:ilvl w:val="0"/>
                <w:numId w:val="7"/>
              </w:numPr>
              <w:spacing w:before="60" w:after="60" w:line="240" w:lineRule="auto"/>
              <w:contextualSpacing w:val="0"/>
              <w:rPr>
                <w:rFonts w:cs="Calibri"/>
                <w:b/>
                <w:lang w:eastAsia="en-GB"/>
              </w:rPr>
            </w:pPr>
            <w:r w:rsidRPr="0018470D">
              <w:rPr>
                <w:rFonts w:cs="Calibri"/>
              </w:rPr>
              <w:t>Possess relevant and in date STCW qualifications</w:t>
            </w:r>
          </w:p>
          <w:p w14:paraId="02EB378F" w14:textId="77777777" w:rsidR="0014490F" w:rsidRPr="0014490F" w:rsidRDefault="0014490F" w:rsidP="002E515D">
            <w:pPr>
              <w:pStyle w:val="ListParagraph"/>
              <w:spacing w:before="60" w:after="60" w:line="240" w:lineRule="auto"/>
              <w:ind w:left="0"/>
              <w:contextualSpacing w:val="0"/>
              <w:rPr>
                <w:rFonts w:cs="Calibri"/>
                <w:b/>
                <w:lang w:eastAsia="en-GB"/>
              </w:rPr>
            </w:pPr>
          </w:p>
          <w:p w14:paraId="57BEB84A" w14:textId="77777777" w:rsidR="00A3745A" w:rsidRDefault="00A3745A" w:rsidP="0062239C">
            <w:pPr>
              <w:pStyle w:val="ListParagraph"/>
              <w:numPr>
                <w:ilvl w:val="0"/>
                <w:numId w:val="7"/>
              </w:numPr>
              <w:spacing w:before="60" w:after="60" w:line="240" w:lineRule="auto"/>
              <w:contextualSpacing w:val="0"/>
              <w:rPr>
                <w:rFonts w:cs="Calibri"/>
                <w:b/>
                <w:lang w:eastAsia="en-GB"/>
              </w:rPr>
            </w:pPr>
            <w:r w:rsidRPr="002220A7">
              <w:rPr>
                <w:rFonts w:cs="Calibri"/>
                <w:b/>
                <w:lang w:eastAsia="en-GB"/>
              </w:rPr>
              <w:t>An Advantage but not Essential</w:t>
            </w:r>
            <w:r>
              <w:rPr>
                <w:rFonts w:cs="Calibri"/>
                <w:b/>
                <w:lang w:eastAsia="en-GB"/>
              </w:rPr>
              <w:t>:</w:t>
            </w:r>
          </w:p>
          <w:p w14:paraId="75E0B5AF" w14:textId="77777777" w:rsidR="00A3745A" w:rsidRPr="006712B4" w:rsidRDefault="006712B4" w:rsidP="0062239C">
            <w:pPr>
              <w:numPr>
                <w:ilvl w:val="0"/>
                <w:numId w:val="7"/>
              </w:numPr>
              <w:rPr>
                <w:rFonts w:cs="Calibri"/>
                <w:lang w:eastAsia="en-GB"/>
              </w:rPr>
            </w:pPr>
            <w:r w:rsidRPr="006712B4">
              <w:rPr>
                <w:rFonts w:cs="Calibri"/>
                <w:lang w:eastAsia="en-GB"/>
              </w:rPr>
              <w:t>Have previous Pilot boat work or similar experience</w:t>
            </w:r>
          </w:p>
        </w:tc>
      </w:tr>
      <w:tr w:rsidR="00A3745A" w:rsidRPr="00F00566" w14:paraId="2A2A03E5" w14:textId="3BE107EF" w:rsidTr="00814E80">
        <w:tc>
          <w:tcPr>
            <w:tcW w:w="1951" w:type="dxa"/>
          </w:tcPr>
          <w:p w14:paraId="646E2DD5" w14:textId="77777777" w:rsidR="00A3745A" w:rsidRPr="00F00566" w:rsidRDefault="00A3745A" w:rsidP="00A3745A">
            <w:pPr>
              <w:spacing w:before="60" w:after="60" w:line="240" w:lineRule="auto"/>
              <w:rPr>
                <w:rFonts w:cs="Calibri"/>
                <w:b/>
                <w:lang w:eastAsia="en-GB"/>
              </w:rPr>
            </w:pPr>
            <w:r>
              <w:rPr>
                <w:rFonts w:cs="Calibri"/>
                <w:b/>
                <w:lang w:eastAsia="en-GB"/>
              </w:rPr>
              <w:t>In order to be successful we need someone who is / has</w:t>
            </w:r>
          </w:p>
        </w:tc>
        <w:tc>
          <w:tcPr>
            <w:tcW w:w="7324" w:type="dxa"/>
            <w:gridSpan w:val="2"/>
          </w:tcPr>
          <w:p w14:paraId="056846D6"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punctual</w:t>
            </w:r>
          </w:p>
          <w:p w14:paraId="6330A8D1"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proactive</w:t>
            </w:r>
          </w:p>
          <w:p w14:paraId="0A5BF496"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self-motivated</w:t>
            </w:r>
          </w:p>
          <w:p w14:paraId="59B54F7E"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capable of working within in a team</w:t>
            </w:r>
          </w:p>
          <w:p w14:paraId="2B3EC609"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capable of working under pressure</w:t>
            </w:r>
          </w:p>
          <w:p w14:paraId="02929392"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Have a very good awareness of hazards and health and safety regulations</w:t>
            </w:r>
          </w:p>
          <w:p w14:paraId="5574409C"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willing to promote a safe culture within the workplace</w:t>
            </w:r>
          </w:p>
          <w:p w14:paraId="63A68B3C"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t>Be flexible in respect of the hours and work that may be required.</w:t>
            </w:r>
          </w:p>
          <w:p w14:paraId="54C5F593" w14:textId="77777777" w:rsidR="0018470D" w:rsidRPr="0018470D" w:rsidRDefault="0018470D" w:rsidP="0018470D">
            <w:pPr>
              <w:pStyle w:val="ListParagraph"/>
              <w:numPr>
                <w:ilvl w:val="0"/>
                <w:numId w:val="5"/>
              </w:numPr>
              <w:spacing w:before="60" w:after="60" w:line="240" w:lineRule="auto"/>
              <w:contextualSpacing w:val="0"/>
              <w:rPr>
                <w:rFonts w:cs="Calibri"/>
              </w:rPr>
            </w:pPr>
            <w:r w:rsidRPr="0018470D">
              <w:rPr>
                <w:rFonts w:cs="Calibri"/>
              </w:rPr>
              <w:lastRenderedPageBreak/>
              <w:t>Possess excellent interpersonal skills</w:t>
            </w:r>
          </w:p>
          <w:p w14:paraId="16BF4746" w14:textId="77777777" w:rsidR="00A3745A" w:rsidRPr="0018470D" w:rsidRDefault="0018470D" w:rsidP="0018470D">
            <w:pPr>
              <w:pStyle w:val="ListParagraph"/>
              <w:numPr>
                <w:ilvl w:val="0"/>
                <w:numId w:val="5"/>
              </w:numPr>
              <w:spacing w:before="60" w:after="60" w:line="240" w:lineRule="auto"/>
              <w:contextualSpacing w:val="0"/>
              <w:rPr>
                <w:rFonts w:cs="Calibri"/>
              </w:rPr>
            </w:pPr>
            <w:r>
              <w:t>Possess very good written and oral communication skills</w:t>
            </w:r>
          </w:p>
        </w:tc>
      </w:tr>
      <w:tr w:rsidR="00814E80" w14:paraId="07E54829" w14:textId="77777777" w:rsidTr="00814E80">
        <w:trPr>
          <w:gridAfter w:val="1"/>
          <w:wAfter w:w="259" w:type="dxa"/>
        </w:trPr>
        <w:tc>
          <w:tcPr>
            <w:tcW w:w="1980" w:type="dxa"/>
          </w:tcPr>
          <w:p w14:paraId="2EC182FB" w14:textId="07351298" w:rsidR="00814E80" w:rsidRPr="00814E80" w:rsidRDefault="00814E80">
            <w:pPr>
              <w:rPr>
                <w:b/>
                <w:bCs/>
              </w:rPr>
            </w:pPr>
            <w:r w:rsidRPr="00814E80">
              <w:rPr>
                <w:b/>
                <w:bCs/>
              </w:rPr>
              <w:lastRenderedPageBreak/>
              <w:t>Employee Company Benefits</w:t>
            </w:r>
          </w:p>
        </w:tc>
        <w:tc>
          <w:tcPr>
            <w:tcW w:w="7036" w:type="dxa"/>
          </w:tcPr>
          <w:p w14:paraId="25BE7D56" w14:textId="77777777" w:rsidR="00814E80" w:rsidRDefault="00814E80">
            <w:r>
              <w:t>Dublin Port Company provides several employee benefits to permanent employees and also during the probation period, below is an extract of some benefits provided for but not limited to:</w:t>
            </w:r>
          </w:p>
          <w:p w14:paraId="54FB2C22" w14:textId="77777777" w:rsidR="00814E80" w:rsidRDefault="00814E80" w:rsidP="00814E80">
            <w:pPr>
              <w:pStyle w:val="ListParagraph"/>
              <w:numPr>
                <w:ilvl w:val="0"/>
                <w:numId w:val="9"/>
              </w:numPr>
            </w:pPr>
            <w:r>
              <w:t>Defined Contribution Pension Scheme – Can be accessed from start date of employment</w:t>
            </w:r>
          </w:p>
          <w:p w14:paraId="3F3BA56E" w14:textId="77777777" w:rsidR="00814E80" w:rsidRDefault="00CC4EEA" w:rsidP="00814E80">
            <w:pPr>
              <w:pStyle w:val="ListParagraph"/>
              <w:numPr>
                <w:ilvl w:val="0"/>
                <w:numId w:val="9"/>
              </w:numPr>
            </w:pPr>
            <w:r>
              <w:t>GP refund scheme for employee and family to a max of €430 annually.</w:t>
            </w:r>
          </w:p>
          <w:p w14:paraId="1628D45E" w14:textId="77777777" w:rsidR="00CC4EEA" w:rsidRDefault="00CC4EEA" w:rsidP="00814E80">
            <w:pPr>
              <w:pStyle w:val="ListParagraph"/>
              <w:numPr>
                <w:ilvl w:val="0"/>
                <w:numId w:val="9"/>
              </w:numPr>
            </w:pPr>
            <w:r>
              <w:t>EAP service which includes provision for eight counselling sessions annually for employees and their families as well as a 24/7 helpline and wellness portal.</w:t>
            </w:r>
          </w:p>
          <w:p w14:paraId="724A6F11" w14:textId="77777777" w:rsidR="00CC4EEA" w:rsidRDefault="00CC4EEA" w:rsidP="00814E80">
            <w:pPr>
              <w:pStyle w:val="ListParagraph"/>
              <w:numPr>
                <w:ilvl w:val="0"/>
                <w:numId w:val="9"/>
              </w:numPr>
            </w:pPr>
            <w:r>
              <w:t xml:space="preserve">Parents and Paternity Leave – the Company has agreed to pay full salary, less state benefit, to all relevant employees for two weeks. </w:t>
            </w:r>
          </w:p>
          <w:p w14:paraId="7CD00BA6" w14:textId="77777777" w:rsidR="00CC4EEA" w:rsidRDefault="00CC4EEA" w:rsidP="00CC4EEA">
            <w:pPr>
              <w:pStyle w:val="ListParagraph"/>
              <w:numPr>
                <w:ilvl w:val="0"/>
                <w:numId w:val="9"/>
              </w:numPr>
            </w:pPr>
            <w:r>
              <w:t>Maternity and Adoptive Leave – The Company pay full salary for the first 26 weeks of Maternity &amp; Adoptive Leave, inclusive of State Benefit</w:t>
            </w:r>
          </w:p>
          <w:p w14:paraId="460043FA" w14:textId="77777777" w:rsidR="00CC4EEA" w:rsidRDefault="00CC4EEA" w:rsidP="00CC4EEA">
            <w:pPr>
              <w:pStyle w:val="ListParagraph"/>
              <w:numPr>
                <w:ilvl w:val="0"/>
                <w:numId w:val="9"/>
              </w:numPr>
            </w:pPr>
            <w:r>
              <w:t>One week’s marriage leave, and five days compassionate leave for immediate family and three days for death of other family members</w:t>
            </w:r>
          </w:p>
          <w:p w14:paraId="03C01D2B" w14:textId="77777777" w:rsidR="00CC4EEA" w:rsidRDefault="00CC4EEA" w:rsidP="00CC4EEA">
            <w:pPr>
              <w:pStyle w:val="ListParagraph"/>
              <w:numPr>
                <w:ilvl w:val="0"/>
                <w:numId w:val="9"/>
              </w:numPr>
            </w:pPr>
            <w:r>
              <w:t>Sick Pay (Post Probation) - For employees who are absent from work due to certified illness, the Company pay, inclusive of state benefit, up to twenty weeks at full pay and thirty two weeks at half pay or 26 weeks full pay and 26 weeks half pay (clerical / admin staff) in any period of twelve months subject to a maximum of fifty two weeks at any rate in any period of four rolling years.</w:t>
            </w:r>
          </w:p>
          <w:p w14:paraId="5F09343B" w14:textId="77777777" w:rsidR="00CC4EEA" w:rsidRDefault="00CC4EEA" w:rsidP="00CC4EEA">
            <w:pPr>
              <w:pStyle w:val="ListParagraph"/>
              <w:numPr>
                <w:ilvl w:val="0"/>
                <w:numId w:val="9"/>
              </w:numPr>
            </w:pPr>
            <w:r>
              <w:t>Sick Pay during probation - DPC has a sick pay scheme for staff on probation which is in excess of legal requirements.</w:t>
            </w:r>
          </w:p>
          <w:p w14:paraId="292982A8" w14:textId="77777777" w:rsidR="00CC4EEA" w:rsidRDefault="00CC4EEA" w:rsidP="00CC4EEA">
            <w:pPr>
              <w:pStyle w:val="ListParagraph"/>
              <w:numPr>
                <w:ilvl w:val="0"/>
                <w:numId w:val="9"/>
              </w:numPr>
            </w:pPr>
            <w:r>
              <w:t>The Company cover the cost of annual flu and COVID vaccinations for all employees valued at €60 per person.</w:t>
            </w:r>
          </w:p>
          <w:p w14:paraId="7C135EF9" w14:textId="77777777" w:rsidR="00CC4EEA" w:rsidRDefault="00CC4EEA" w:rsidP="00CC4EEA">
            <w:pPr>
              <w:pStyle w:val="ListParagraph"/>
              <w:numPr>
                <w:ilvl w:val="0"/>
                <w:numId w:val="9"/>
              </w:numPr>
            </w:pPr>
            <w:r>
              <w:t>On a biennial basis, the Company offer a comprehensive Health Screening Programme for all employees. This is valued at €600 per employee.</w:t>
            </w:r>
          </w:p>
          <w:p w14:paraId="1C2B7A45" w14:textId="77777777" w:rsidR="00CC4EEA" w:rsidRDefault="00CC4EEA" w:rsidP="00CC4EEA">
            <w:pPr>
              <w:pStyle w:val="ListParagraph"/>
              <w:numPr>
                <w:ilvl w:val="0"/>
                <w:numId w:val="9"/>
              </w:numPr>
            </w:pPr>
            <w:r>
              <w:t>Each employee offered an individual Udemy training licence which can be used for unlimited personal use value €200.</w:t>
            </w:r>
          </w:p>
          <w:p w14:paraId="05E36294" w14:textId="77777777" w:rsidR="00CC4EEA" w:rsidRDefault="00CC4EEA" w:rsidP="00CC4EEA">
            <w:pPr>
              <w:pStyle w:val="ListParagraph"/>
              <w:numPr>
                <w:ilvl w:val="0"/>
                <w:numId w:val="9"/>
              </w:numPr>
            </w:pPr>
            <w:r>
              <w:t>Heavily subsidised canteen which was kept open throughout Covid-19 with additional DPC financial support</w:t>
            </w:r>
          </w:p>
          <w:p w14:paraId="76D1184A" w14:textId="77777777" w:rsidR="00CC4EEA" w:rsidRDefault="00CC4EEA" w:rsidP="00CC4EEA">
            <w:pPr>
              <w:pStyle w:val="ListParagraph"/>
              <w:numPr>
                <w:ilvl w:val="0"/>
                <w:numId w:val="9"/>
              </w:numPr>
            </w:pPr>
            <w:r>
              <w:t>Tax Saver Schemes</w:t>
            </w:r>
          </w:p>
          <w:p w14:paraId="50CA9C91" w14:textId="47D4EE9C" w:rsidR="00CC4EEA" w:rsidRDefault="00CC4EEA" w:rsidP="00CC4EEA">
            <w:pPr>
              <w:pStyle w:val="ListParagraph"/>
              <w:numPr>
                <w:ilvl w:val="0"/>
                <w:numId w:val="9"/>
              </w:numPr>
            </w:pPr>
            <w:r>
              <w:t>Savings Scheme</w:t>
            </w:r>
          </w:p>
        </w:tc>
      </w:tr>
    </w:tbl>
    <w:p w14:paraId="6A05A809" w14:textId="287C0042" w:rsidR="00474F25" w:rsidRDefault="00474F25"/>
    <w:sectPr w:rsidR="00474F2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BD62" w14:textId="77777777" w:rsidR="00941CE9" w:rsidRDefault="00941CE9">
      <w:pPr>
        <w:spacing w:after="0" w:line="240" w:lineRule="auto"/>
      </w:pPr>
      <w:r>
        <w:separator/>
      </w:r>
    </w:p>
  </w:endnote>
  <w:endnote w:type="continuationSeparator" w:id="0">
    <w:p w14:paraId="5878928E" w14:textId="77777777" w:rsidR="00941CE9" w:rsidRDefault="00941CE9">
      <w:pPr>
        <w:spacing w:after="0" w:line="240" w:lineRule="auto"/>
      </w:pPr>
      <w:r>
        <w:continuationSeparator/>
      </w:r>
    </w:p>
  </w:endnote>
  <w:endnote w:type="continuationNotice" w:id="1">
    <w:p w14:paraId="704B015A" w14:textId="77777777" w:rsidR="00941CE9" w:rsidRDefault="00941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14490F" w:rsidRPr="00F00566" w14:paraId="53D9133A" w14:textId="77777777" w:rsidTr="00F00566">
      <w:tc>
        <w:tcPr>
          <w:tcW w:w="918" w:type="dxa"/>
        </w:tcPr>
        <w:p w14:paraId="2903CBC8" w14:textId="77777777" w:rsidR="0014490F" w:rsidRPr="00F00566" w:rsidRDefault="0014490F">
          <w:pPr>
            <w:pStyle w:val="Footer"/>
            <w:jc w:val="right"/>
            <w:rPr>
              <w:b/>
              <w:bCs/>
              <w:color w:val="4F81BD"/>
              <w:sz w:val="32"/>
              <w:szCs w:val="32"/>
            </w:rPr>
          </w:pPr>
          <w:r w:rsidRPr="00F00566">
            <w:fldChar w:fldCharType="begin"/>
          </w:r>
          <w:r w:rsidRPr="00F00566">
            <w:instrText xml:space="preserve"> PAGE   \* MERGEFORMAT </w:instrText>
          </w:r>
          <w:r w:rsidRPr="00F00566">
            <w:fldChar w:fldCharType="separate"/>
          </w:r>
          <w:r w:rsidR="002E515D" w:rsidRPr="002E515D">
            <w:rPr>
              <w:b/>
              <w:bCs/>
              <w:noProof/>
              <w:color w:val="4F81BD"/>
              <w:sz w:val="32"/>
              <w:szCs w:val="32"/>
            </w:rPr>
            <w:t>2</w:t>
          </w:r>
          <w:r w:rsidRPr="00F00566">
            <w:rPr>
              <w:b/>
              <w:bCs/>
              <w:noProof/>
              <w:color w:val="4F81BD"/>
              <w:sz w:val="32"/>
              <w:szCs w:val="32"/>
            </w:rPr>
            <w:fldChar w:fldCharType="end"/>
          </w:r>
        </w:p>
      </w:tc>
      <w:tc>
        <w:tcPr>
          <w:tcW w:w="7938" w:type="dxa"/>
        </w:tcPr>
        <w:p w14:paraId="12C65511" w14:textId="77777777" w:rsidR="0014490F" w:rsidRPr="00F00566" w:rsidRDefault="0014490F" w:rsidP="003B785D">
          <w:pPr>
            <w:pStyle w:val="Footer"/>
          </w:pPr>
          <w:r w:rsidRPr="00F00566">
            <w:t>Prepared by Human Resources</w:t>
          </w:r>
        </w:p>
        <w:p w14:paraId="0E27B00A" w14:textId="77777777" w:rsidR="0014490F" w:rsidRPr="00F00566" w:rsidRDefault="0014490F" w:rsidP="003B785D">
          <w:pPr>
            <w:pStyle w:val="Footer"/>
          </w:pPr>
        </w:p>
      </w:tc>
    </w:tr>
  </w:tbl>
  <w:p w14:paraId="36D72FAE" w14:textId="77777777" w:rsidR="0014490F" w:rsidRPr="00A156FC" w:rsidRDefault="0014490F" w:rsidP="003B785D">
    <w:pPr>
      <w:pStyle w:val="Footer"/>
      <w:jc w:val="center"/>
      <w:rPr>
        <w:b/>
        <w:sz w:val="18"/>
        <w:szCs w:val="18"/>
      </w:rPr>
    </w:pPr>
    <w:r>
      <w:rPr>
        <w:b/>
        <w:sz w:val="18"/>
        <w:szCs w:val="18"/>
      </w:rPr>
      <w:t>12/05/2020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792F" w14:textId="77777777" w:rsidR="00941CE9" w:rsidRDefault="00941CE9">
      <w:pPr>
        <w:spacing w:after="0" w:line="240" w:lineRule="auto"/>
      </w:pPr>
      <w:r>
        <w:separator/>
      </w:r>
    </w:p>
  </w:footnote>
  <w:footnote w:type="continuationSeparator" w:id="0">
    <w:p w14:paraId="6D83C418" w14:textId="77777777" w:rsidR="00941CE9" w:rsidRDefault="00941CE9">
      <w:pPr>
        <w:spacing w:after="0" w:line="240" w:lineRule="auto"/>
      </w:pPr>
      <w:r>
        <w:continuationSeparator/>
      </w:r>
    </w:p>
  </w:footnote>
  <w:footnote w:type="continuationNotice" w:id="1">
    <w:p w14:paraId="62EB39C7" w14:textId="77777777" w:rsidR="00941CE9" w:rsidRDefault="00941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14490F" w:rsidRDefault="00F60BBC" w:rsidP="003B785D">
    <w:pPr>
      <w:pStyle w:val="Header"/>
      <w:jc w:val="center"/>
    </w:pPr>
    <w:r w:rsidRPr="004A0856">
      <w:rPr>
        <w:noProof/>
        <w:lang w:eastAsia="en-IE"/>
      </w:rPr>
      <w:drawing>
        <wp:inline distT="0" distB="0" distL="0" distR="0" wp14:anchorId="1908D0D9" wp14:editId="07777777">
          <wp:extent cx="158115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a:ln>
                    <a:noFill/>
                  </a:ln>
                </pic:spPr>
              </pic:pic>
            </a:graphicData>
          </a:graphic>
        </wp:inline>
      </w:drawing>
    </w:r>
  </w:p>
  <w:p w14:paraId="44EAFD9C" w14:textId="77777777" w:rsidR="0014490F" w:rsidRPr="00A156FC" w:rsidRDefault="0014490F" w:rsidP="003B785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75F3"/>
    <w:multiLevelType w:val="hybridMultilevel"/>
    <w:tmpl w:val="68BA4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4F53ED"/>
    <w:multiLevelType w:val="hybridMultilevel"/>
    <w:tmpl w:val="C700F4A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C731276"/>
    <w:multiLevelType w:val="hybridMultilevel"/>
    <w:tmpl w:val="1E2CF8BC"/>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3" w15:restartNumberingAfterBreak="0">
    <w:nsid w:val="4B695004"/>
    <w:multiLevelType w:val="hybridMultilevel"/>
    <w:tmpl w:val="530A40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146E0"/>
    <w:multiLevelType w:val="hybridMultilevel"/>
    <w:tmpl w:val="60CE1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24A337D"/>
    <w:multiLevelType w:val="hybridMultilevel"/>
    <w:tmpl w:val="06625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9DE5F87"/>
    <w:multiLevelType w:val="hybridMultilevel"/>
    <w:tmpl w:val="18DE585E"/>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7" w15:restartNumberingAfterBreak="0">
    <w:nsid w:val="6EFB6CE7"/>
    <w:multiLevelType w:val="hybridMultilevel"/>
    <w:tmpl w:val="60725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FC56B2E"/>
    <w:multiLevelType w:val="hybridMultilevel"/>
    <w:tmpl w:val="3042C5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23323427">
    <w:abstractNumId w:val="3"/>
  </w:num>
  <w:num w:numId="2" w16cid:durableId="1889098747">
    <w:abstractNumId w:val="8"/>
  </w:num>
  <w:num w:numId="3" w16cid:durableId="2081753402">
    <w:abstractNumId w:val="7"/>
  </w:num>
  <w:num w:numId="4" w16cid:durableId="865214536">
    <w:abstractNumId w:val="6"/>
  </w:num>
  <w:num w:numId="5" w16cid:durableId="889657220">
    <w:abstractNumId w:val="5"/>
  </w:num>
  <w:num w:numId="6" w16cid:durableId="1759129839">
    <w:abstractNumId w:val="1"/>
  </w:num>
  <w:num w:numId="7" w16cid:durableId="1933661018">
    <w:abstractNumId w:val="2"/>
  </w:num>
  <w:num w:numId="8" w16cid:durableId="1667511181">
    <w:abstractNumId w:val="4"/>
  </w:num>
  <w:num w:numId="9" w16cid:durableId="33970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8D"/>
    <w:rsid w:val="00051C76"/>
    <w:rsid w:val="0008539D"/>
    <w:rsid w:val="000E6F1E"/>
    <w:rsid w:val="000F3809"/>
    <w:rsid w:val="001042F5"/>
    <w:rsid w:val="001108B4"/>
    <w:rsid w:val="001113B3"/>
    <w:rsid w:val="0014490F"/>
    <w:rsid w:val="001463F7"/>
    <w:rsid w:val="001512C5"/>
    <w:rsid w:val="0016583D"/>
    <w:rsid w:val="00172F1C"/>
    <w:rsid w:val="0018470D"/>
    <w:rsid w:val="001B7C3E"/>
    <w:rsid w:val="001D09C4"/>
    <w:rsid w:val="001F0093"/>
    <w:rsid w:val="00205C13"/>
    <w:rsid w:val="00221C8B"/>
    <w:rsid w:val="002220A7"/>
    <w:rsid w:val="00236563"/>
    <w:rsid w:val="002945E6"/>
    <w:rsid w:val="002B2773"/>
    <w:rsid w:val="002E515D"/>
    <w:rsid w:val="003257B1"/>
    <w:rsid w:val="00342512"/>
    <w:rsid w:val="003843A5"/>
    <w:rsid w:val="00394A1F"/>
    <w:rsid w:val="003B785D"/>
    <w:rsid w:val="00400651"/>
    <w:rsid w:val="004334EF"/>
    <w:rsid w:val="0045328A"/>
    <w:rsid w:val="00453375"/>
    <w:rsid w:val="00472B34"/>
    <w:rsid w:val="00474F25"/>
    <w:rsid w:val="00482914"/>
    <w:rsid w:val="00493067"/>
    <w:rsid w:val="00547E7D"/>
    <w:rsid w:val="005A6D7A"/>
    <w:rsid w:val="005D7ED6"/>
    <w:rsid w:val="005E1DB6"/>
    <w:rsid w:val="0062239C"/>
    <w:rsid w:val="00630C2B"/>
    <w:rsid w:val="00632765"/>
    <w:rsid w:val="00633843"/>
    <w:rsid w:val="006410AB"/>
    <w:rsid w:val="00643F7F"/>
    <w:rsid w:val="00667DDD"/>
    <w:rsid w:val="006712B4"/>
    <w:rsid w:val="00684BF9"/>
    <w:rsid w:val="006A3C49"/>
    <w:rsid w:val="006A54AF"/>
    <w:rsid w:val="006C2590"/>
    <w:rsid w:val="006F2643"/>
    <w:rsid w:val="0071263B"/>
    <w:rsid w:val="00745E16"/>
    <w:rsid w:val="00794230"/>
    <w:rsid w:val="007A03C0"/>
    <w:rsid w:val="007B626C"/>
    <w:rsid w:val="00814E80"/>
    <w:rsid w:val="00824655"/>
    <w:rsid w:val="00852844"/>
    <w:rsid w:val="00870B4D"/>
    <w:rsid w:val="00881D70"/>
    <w:rsid w:val="008E0917"/>
    <w:rsid w:val="008F7D39"/>
    <w:rsid w:val="0091436B"/>
    <w:rsid w:val="0093791C"/>
    <w:rsid w:val="00941CE9"/>
    <w:rsid w:val="009657EB"/>
    <w:rsid w:val="009B0A93"/>
    <w:rsid w:val="009B216A"/>
    <w:rsid w:val="009B25B8"/>
    <w:rsid w:val="009C5B73"/>
    <w:rsid w:val="009D394E"/>
    <w:rsid w:val="00A3655F"/>
    <w:rsid w:val="00A370FF"/>
    <w:rsid w:val="00A3745A"/>
    <w:rsid w:val="00A77633"/>
    <w:rsid w:val="00A861FE"/>
    <w:rsid w:val="00AA418D"/>
    <w:rsid w:val="00AC546F"/>
    <w:rsid w:val="00AE347A"/>
    <w:rsid w:val="00AE49B3"/>
    <w:rsid w:val="00B00C71"/>
    <w:rsid w:val="00B1116B"/>
    <w:rsid w:val="00B14D95"/>
    <w:rsid w:val="00B24349"/>
    <w:rsid w:val="00B513F4"/>
    <w:rsid w:val="00B5493D"/>
    <w:rsid w:val="00B61F8D"/>
    <w:rsid w:val="00B9109A"/>
    <w:rsid w:val="00BB490C"/>
    <w:rsid w:val="00BE5CD1"/>
    <w:rsid w:val="00BE7EEC"/>
    <w:rsid w:val="00BF22B3"/>
    <w:rsid w:val="00BF5691"/>
    <w:rsid w:val="00C60BBA"/>
    <w:rsid w:val="00C735B8"/>
    <w:rsid w:val="00CC4EEA"/>
    <w:rsid w:val="00CD7ED9"/>
    <w:rsid w:val="00CE1D08"/>
    <w:rsid w:val="00CE3D75"/>
    <w:rsid w:val="00CF1F8D"/>
    <w:rsid w:val="00D122B5"/>
    <w:rsid w:val="00D20479"/>
    <w:rsid w:val="00D45525"/>
    <w:rsid w:val="00D4568F"/>
    <w:rsid w:val="00D63E6F"/>
    <w:rsid w:val="00D722FD"/>
    <w:rsid w:val="00D7569B"/>
    <w:rsid w:val="00D839EE"/>
    <w:rsid w:val="00E2200C"/>
    <w:rsid w:val="00E255BE"/>
    <w:rsid w:val="00E301FC"/>
    <w:rsid w:val="00E342B8"/>
    <w:rsid w:val="00E674A5"/>
    <w:rsid w:val="00E85717"/>
    <w:rsid w:val="00E9538F"/>
    <w:rsid w:val="00EB622E"/>
    <w:rsid w:val="00F00566"/>
    <w:rsid w:val="00F5491C"/>
    <w:rsid w:val="00F60BBC"/>
    <w:rsid w:val="00FD77F1"/>
    <w:rsid w:val="08D596D7"/>
    <w:rsid w:val="1B810F71"/>
    <w:rsid w:val="25D361B9"/>
    <w:rsid w:val="2E2EF29E"/>
    <w:rsid w:val="2EC09291"/>
    <w:rsid w:val="4E3A4B68"/>
    <w:rsid w:val="62253B7F"/>
    <w:rsid w:val="78116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F3D6"/>
  <w15:chartTrackingRefBased/>
  <w15:docId w15:val="{FB649E8C-9904-4B30-ABA7-19F770C1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F8D"/>
  </w:style>
  <w:style w:type="paragraph" w:styleId="Footer">
    <w:name w:val="footer"/>
    <w:basedOn w:val="Normal"/>
    <w:link w:val="FooterChar"/>
    <w:uiPriority w:val="99"/>
    <w:unhideWhenUsed/>
    <w:rsid w:val="00B6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F8D"/>
  </w:style>
  <w:style w:type="paragraph" w:styleId="BalloonText">
    <w:name w:val="Balloon Text"/>
    <w:basedOn w:val="Normal"/>
    <w:link w:val="BalloonTextChar"/>
    <w:uiPriority w:val="99"/>
    <w:semiHidden/>
    <w:unhideWhenUsed/>
    <w:rsid w:val="00B61F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1F8D"/>
    <w:rPr>
      <w:rFonts w:ascii="Tahoma" w:hAnsi="Tahoma" w:cs="Tahoma"/>
      <w:sz w:val="16"/>
      <w:szCs w:val="16"/>
    </w:rPr>
  </w:style>
  <w:style w:type="paragraph" w:styleId="ListParagraph">
    <w:name w:val="List Paragraph"/>
    <w:basedOn w:val="Normal"/>
    <w:uiPriority w:val="34"/>
    <w:qFormat/>
    <w:rsid w:val="00493067"/>
    <w:pPr>
      <w:ind w:left="720"/>
      <w:contextualSpacing/>
    </w:pPr>
  </w:style>
  <w:style w:type="table" w:styleId="TableGrid">
    <w:name w:val="Table Grid"/>
    <w:basedOn w:val="TableNormal"/>
    <w:uiPriority w:val="59"/>
    <w:rsid w:val="0081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70485">
      <w:bodyDiv w:val="1"/>
      <w:marLeft w:val="0"/>
      <w:marRight w:val="0"/>
      <w:marTop w:val="0"/>
      <w:marBottom w:val="0"/>
      <w:divBdr>
        <w:top w:val="none" w:sz="0" w:space="0" w:color="auto"/>
        <w:left w:val="none" w:sz="0" w:space="0" w:color="auto"/>
        <w:bottom w:val="none" w:sz="0" w:space="0" w:color="auto"/>
        <w:right w:val="none" w:sz="0" w:space="0" w:color="auto"/>
      </w:divBdr>
    </w:div>
    <w:div w:id="13529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2CC830DE4504D8EB56D183F653E0E" ma:contentTypeVersion="5" ma:contentTypeDescription="Create a new document." ma:contentTypeScope="" ma:versionID="6ff2e2954c83f6e4f7c91808b6f96198">
  <xsd:schema xmlns:xsd="http://www.w3.org/2001/XMLSchema" xmlns:xs="http://www.w3.org/2001/XMLSchema" xmlns:p="http://schemas.microsoft.com/office/2006/metadata/properties" xmlns:ns2="9a085446-291c-482e-a606-a8ebf9d0db6c" xmlns:ns3="261762f6-c698-4c72-9755-2b190031a941" targetNamespace="http://schemas.microsoft.com/office/2006/metadata/properties" ma:root="true" ma:fieldsID="e9c982a3205ab6cd2599fe7e589f8662" ns2:_="" ns3:_="">
    <xsd:import namespace="9a085446-291c-482e-a606-a8ebf9d0db6c"/>
    <xsd:import namespace="261762f6-c698-4c72-9755-2b190031a9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85446-291c-482e-a606-a8ebf9d0d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762f6-c698-4c72-9755-2b190031a9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737FA-5B67-46EB-ABD5-3428D38B8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85446-291c-482e-a606-a8ebf9d0db6c"/>
    <ds:schemaRef ds:uri="261762f6-c698-4c72-9755-2b190031a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40D2D-3082-497F-9C19-FBDFBA487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Ward</dc:creator>
  <cp:keywords/>
  <cp:lastModifiedBy>Celine Ryan</cp:lastModifiedBy>
  <cp:revision>6</cp:revision>
  <cp:lastPrinted>2019-08-31T07:47:00Z</cp:lastPrinted>
  <dcterms:created xsi:type="dcterms:W3CDTF">2023-09-21T13:25:00Z</dcterms:created>
  <dcterms:modified xsi:type="dcterms:W3CDTF">2023-09-22T13:41:00Z</dcterms:modified>
</cp:coreProperties>
</file>